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כסף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זהב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ָּׁ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יק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ָּׁ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ְּׁ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יכ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יכ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ֻ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באזני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צדיק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ועבדום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ולואי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הוציאוני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ָ֖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ֹ֣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ָ֑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ְּ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ַ֙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ִֽ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ִ֣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ֵ֔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ָ֥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ִׁ֖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ֵֽ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יג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רלב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התועלת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והקבלה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המכוון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כפחותים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ונבזים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קיד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וישאלום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שהשאילום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שלל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דישראל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פסיקתא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זוטרתא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לקח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ריעיהם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וכאוהבים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למונעו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קדמוניות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היהודים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ליוסף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מתתיהו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והמצרים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שימהרו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וטעם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להים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וילנא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משכנתה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] "</w:t>
      </w:r>
      <w:r w:rsidDel="00000000" w:rsidR="00000000" w:rsidRPr="00000000">
        <w:rPr>
          <w:rtl w:val="1"/>
        </w:rPr>
        <w:t xml:space="preserve">ונתתי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נחלתך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חננאל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לגנוב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ושאלה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שתתן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גמרא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סנהדרין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אלכסנדרוס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וישאילום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לחכמים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אלכסנדרוס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ינצחוני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הדיוט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ניצחתם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נצחתכם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ששעבדתם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אלכסנדרוס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חמדת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ימים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משכנתה</w:t>
      </w:r>
      <w:r w:rsidDel="00000000" w:rsidR="00000000" w:rsidRPr="00000000">
        <w:rPr>
          <w:rtl w:val="1"/>
        </w:rPr>
        <w:t xml:space="preserve">" -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תשליכוהו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מתכשיטיהן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ומשליכין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וישליכו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וציוה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משכנתה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חזקוני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ויאחזו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מושב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זקנים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לאפותיקי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ספורנו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</w:t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ונצלתם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ברדפם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שללכם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הרודפים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לנרדפים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נוסחא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למקומן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והזהב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'" (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למקומן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" (</w:t>
      </w:r>
      <w:r w:rsidDel="00000000" w:rsidR="00000000" w:rsidRPr="00000000">
        <w:rPr>
          <w:rtl w:val="1"/>
        </w:rPr>
        <w:t xml:space="preserve">עזרא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עמכם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התעיף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ואיננו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משלי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ושמלות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למקומן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הכהן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מלובלין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צדיק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ומשה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תנחומא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והראהו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').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דהראהו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התהוותו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וינצלו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הניצוצות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ויקח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מדרש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פקדונות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